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93" w:rsidRPr="00C12493" w:rsidRDefault="00C12493" w:rsidP="00C12493">
      <w:pPr>
        <w:spacing w:after="0" w:line="240" w:lineRule="auto"/>
        <w:contextualSpacing/>
        <w:jc w:val="center"/>
        <w:rPr>
          <w:rFonts w:ascii="Times New Roman" w:eastAsia="Times New Roman" w:hAnsi="Times New Roman" w:cs="Times New Roman"/>
          <w:b/>
          <w:sz w:val="28"/>
          <w:szCs w:val="28"/>
          <w:lang w:eastAsia="ru-RU"/>
        </w:rPr>
      </w:pPr>
      <w:r w:rsidRPr="00C12493">
        <w:rPr>
          <w:rFonts w:ascii="Times New Roman" w:eastAsia="Times New Roman" w:hAnsi="Times New Roman" w:cs="Times New Roman"/>
          <w:b/>
          <w:sz w:val="28"/>
          <w:szCs w:val="28"/>
          <w:lang w:eastAsia="ru-RU"/>
        </w:rPr>
        <w:t>Информация об итогах приемной кампании Уральского государственного университета путей сообщения</w:t>
      </w:r>
    </w:p>
    <w:p w:rsidR="00C12493" w:rsidRPr="00C12493" w:rsidRDefault="00C12493" w:rsidP="00C12493">
      <w:pPr>
        <w:spacing w:after="0" w:line="240" w:lineRule="auto"/>
        <w:contextualSpacing/>
        <w:jc w:val="both"/>
        <w:rPr>
          <w:rFonts w:ascii="Times New Roman" w:eastAsia="Times New Roman" w:hAnsi="Times New Roman" w:cs="Times New Roman"/>
          <w:sz w:val="28"/>
          <w:szCs w:val="28"/>
          <w:lang w:eastAsia="ru-RU"/>
        </w:rPr>
      </w:pPr>
    </w:p>
    <w:p w:rsidR="00C12493" w:rsidRPr="00C12493" w:rsidRDefault="00C12493" w:rsidP="00C12493">
      <w:pPr>
        <w:spacing w:after="0" w:line="240" w:lineRule="auto"/>
        <w:contextualSpacing/>
        <w:jc w:val="both"/>
        <w:rPr>
          <w:rFonts w:ascii="Times New Roman" w:eastAsia="Times New Roman" w:hAnsi="Times New Roman" w:cs="Times New Roman"/>
          <w:sz w:val="28"/>
          <w:szCs w:val="28"/>
          <w:lang w:eastAsia="ru-RU"/>
        </w:rPr>
      </w:pPr>
      <w:r w:rsidRPr="00C12493">
        <w:rPr>
          <w:rFonts w:ascii="Times New Roman" w:eastAsia="Times New Roman" w:hAnsi="Times New Roman" w:cs="Times New Roman"/>
          <w:sz w:val="28"/>
          <w:szCs w:val="28"/>
          <w:lang w:eastAsia="ru-RU"/>
        </w:rPr>
        <w:t xml:space="preserve">1. Сколько принято первокурсников в университет в этом году (бюджет и </w:t>
      </w:r>
      <w:proofErr w:type="spellStart"/>
      <w:r w:rsidRPr="00C12493">
        <w:rPr>
          <w:rFonts w:ascii="Times New Roman" w:eastAsia="Times New Roman" w:hAnsi="Times New Roman" w:cs="Times New Roman"/>
          <w:sz w:val="28"/>
          <w:szCs w:val="28"/>
          <w:lang w:eastAsia="ru-RU"/>
        </w:rPr>
        <w:t>внебюджет</w:t>
      </w:r>
      <w:proofErr w:type="spellEnd"/>
      <w:r w:rsidRPr="00C12493">
        <w:rPr>
          <w:rFonts w:ascii="Times New Roman" w:eastAsia="Times New Roman" w:hAnsi="Times New Roman" w:cs="Times New Roman"/>
          <w:sz w:val="28"/>
          <w:szCs w:val="28"/>
          <w:lang w:eastAsia="ru-RU"/>
        </w:rPr>
        <w:t>)?</w:t>
      </w:r>
    </w:p>
    <w:p w:rsidR="00C12493" w:rsidRPr="00C12493" w:rsidRDefault="00C12493" w:rsidP="00C12493">
      <w:pPr>
        <w:spacing w:after="0" w:line="240" w:lineRule="auto"/>
        <w:ind w:hanging="142"/>
        <w:contextualSpacing/>
        <w:jc w:val="both"/>
        <w:rPr>
          <w:rFonts w:ascii="Times New Roman" w:eastAsia="Times New Roman" w:hAnsi="Times New Roman" w:cs="Times New Roman"/>
          <w:sz w:val="28"/>
          <w:szCs w:val="28"/>
          <w:lang w:eastAsia="ru-RU"/>
        </w:rPr>
      </w:pPr>
    </w:p>
    <w:p w:rsidR="002923D5" w:rsidRPr="002923D5" w:rsidRDefault="002923D5" w:rsidP="002923D5">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2021 года:</w:t>
      </w:r>
    </w:p>
    <w:p w:rsidR="002923D5" w:rsidRPr="002923D5" w:rsidRDefault="002923D5" w:rsidP="002923D5">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бюджет – 1977 человек; </w:t>
      </w:r>
      <w:proofErr w:type="spellStart"/>
      <w:r>
        <w:rPr>
          <w:rFonts w:ascii="Times New Roman" w:eastAsia="Calibri" w:hAnsi="Times New Roman" w:cs="Times New Roman"/>
          <w:sz w:val="28"/>
          <w:szCs w:val="28"/>
        </w:rPr>
        <w:t>внебюджет</w:t>
      </w:r>
      <w:proofErr w:type="spellEnd"/>
      <w:r>
        <w:rPr>
          <w:rFonts w:ascii="Times New Roman" w:eastAsia="Calibri" w:hAnsi="Times New Roman" w:cs="Times New Roman"/>
          <w:sz w:val="28"/>
          <w:szCs w:val="28"/>
        </w:rPr>
        <w:t xml:space="preserve"> – 2608 человек (</w:t>
      </w:r>
      <w:r w:rsidRPr="002923D5">
        <w:rPr>
          <w:rFonts w:ascii="Times New Roman" w:eastAsia="Calibri" w:hAnsi="Times New Roman" w:cs="Times New Roman"/>
          <w:sz w:val="28"/>
          <w:szCs w:val="28"/>
        </w:rPr>
        <w:t xml:space="preserve">из них по очной форме обучения: </w:t>
      </w:r>
      <w:r>
        <w:rPr>
          <w:rFonts w:ascii="Times New Roman" w:eastAsia="Calibri" w:hAnsi="Times New Roman" w:cs="Times New Roman"/>
          <w:sz w:val="28"/>
          <w:szCs w:val="28"/>
        </w:rPr>
        <w:t xml:space="preserve"> </w:t>
      </w:r>
      <w:r w:rsidRPr="002923D5">
        <w:rPr>
          <w:rFonts w:ascii="Times New Roman" w:eastAsia="Calibri" w:hAnsi="Times New Roman" w:cs="Times New Roman"/>
          <w:sz w:val="28"/>
          <w:szCs w:val="28"/>
        </w:rPr>
        <w:t xml:space="preserve">бюджет – 1703 человек, </w:t>
      </w:r>
      <w:proofErr w:type="spellStart"/>
      <w:r w:rsidRPr="002923D5">
        <w:rPr>
          <w:rFonts w:ascii="Times New Roman" w:eastAsia="Calibri" w:hAnsi="Times New Roman" w:cs="Times New Roman"/>
          <w:sz w:val="28"/>
          <w:szCs w:val="28"/>
        </w:rPr>
        <w:t>внебюджет</w:t>
      </w:r>
      <w:proofErr w:type="spellEnd"/>
      <w:r w:rsidRPr="002923D5">
        <w:rPr>
          <w:rFonts w:ascii="Times New Roman" w:eastAsia="Calibri" w:hAnsi="Times New Roman" w:cs="Times New Roman"/>
          <w:sz w:val="28"/>
          <w:szCs w:val="28"/>
        </w:rPr>
        <w:t xml:space="preserve"> – 1861 человек</w:t>
      </w:r>
      <w:r>
        <w:rPr>
          <w:rFonts w:ascii="Times New Roman" w:eastAsia="Calibri" w:hAnsi="Times New Roman" w:cs="Times New Roman"/>
          <w:sz w:val="28"/>
          <w:szCs w:val="28"/>
        </w:rPr>
        <w:t>)</w:t>
      </w:r>
      <w:r w:rsidRPr="002923D5">
        <w:rPr>
          <w:rFonts w:ascii="Times New Roman" w:eastAsia="Calibri" w:hAnsi="Times New Roman" w:cs="Times New Roman"/>
          <w:sz w:val="28"/>
          <w:szCs w:val="28"/>
        </w:rPr>
        <w:t>.</w:t>
      </w:r>
    </w:p>
    <w:p w:rsidR="00C12493" w:rsidRPr="002923D5" w:rsidRDefault="00C12493" w:rsidP="00C12493">
      <w:pPr>
        <w:spacing w:after="0" w:line="240" w:lineRule="auto"/>
        <w:rPr>
          <w:rFonts w:ascii="Times New Roman" w:eastAsia="Times New Roman" w:hAnsi="Times New Roman" w:cs="Times New Roman"/>
          <w:sz w:val="20"/>
          <w:szCs w:val="20"/>
          <w:lang w:eastAsia="ru-RU"/>
        </w:rPr>
      </w:pPr>
      <w:bookmarkStart w:id="0" w:name="_GoBack"/>
      <w:bookmarkEnd w:id="0"/>
    </w:p>
    <w:p w:rsidR="00C12493" w:rsidRPr="00C12493" w:rsidRDefault="00C12493" w:rsidP="00C12493">
      <w:pPr>
        <w:spacing w:after="0" w:line="240" w:lineRule="auto"/>
        <w:rPr>
          <w:rFonts w:ascii="Times New Roman" w:eastAsia="Times New Roman" w:hAnsi="Times New Roman" w:cs="Times New Roman"/>
          <w:sz w:val="20"/>
          <w:szCs w:val="20"/>
          <w:lang w:eastAsia="ru-RU"/>
        </w:rPr>
      </w:pPr>
    </w:p>
    <w:p w:rsidR="00C12493" w:rsidRPr="00C12493" w:rsidRDefault="00C12493" w:rsidP="00C12493">
      <w:pPr>
        <w:spacing w:after="0"/>
        <w:ind w:hanging="142"/>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2. Какие специальности стали самыми востребованными среди студентов?</w:t>
      </w:r>
    </w:p>
    <w:p w:rsidR="00C12493" w:rsidRPr="00C12493" w:rsidRDefault="00C12493" w:rsidP="00C12493">
      <w:pPr>
        <w:spacing w:after="0"/>
        <w:ind w:hanging="142"/>
        <w:jc w:val="both"/>
        <w:rPr>
          <w:rFonts w:ascii="Times New Roman" w:eastAsia="Calibri" w:hAnsi="Times New Roman" w:cs="Times New Roman"/>
          <w:sz w:val="28"/>
          <w:szCs w:val="28"/>
        </w:rPr>
      </w:pPr>
    </w:p>
    <w:p w:rsidR="00C12493" w:rsidRPr="00C12493" w:rsidRDefault="00C12493" w:rsidP="00C12493">
      <w:pPr>
        <w:spacing w:after="0"/>
        <w:ind w:hanging="142"/>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Самые востребованные специальности и направления подготовки в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p w:rsidR="00C12493" w:rsidRPr="00C12493" w:rsidRDefault="00C12493" w:rsidP="00C12493">
      <w:pPr>
        <w:numPr>
          <w:ilvl w:val="0"/>
          <w:numId w:val="1"/>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по программам </w:t>
      </w:r>
      <w:proofErr w:type="spellStart"/>
      <w:r w:rsidRPr="00C12493">
        <w:rPr>
          <w:rFonts w:ascii="Times New Roman" w:eastAsia="Calibri" w:hAnsi="Times New Roman" w:cs="Times New Roman"/>
          <w:sz w:val="28"/>
          <w:szCs w:val="28"/>
        </w:rPr>
        <w:t>бакалавриата</w:t>
      </w:r>
      <w:proofErr w:type="spellEnd"/>
      <w:r w:rsidRPr="00C12493">
        <w:rPr>
          <w:rFonts w:ascii="Times New Roman" w:eastAsia="Calibri" w:hAnsi="Times New Roman" w:cs="Times New Roman"/>
          <w:sz w:val="28"/>
          <w:szCs w:val="28"/>
        </w:rPr>
        <w:t xml:space="preserve"> – «Информационная безопасность», «Информационные системы и технологии»;</w:t>
      </w:r>
    </w:p>
    <w:p w:rsidR="00C12493" w:rsidRPr="00C12493" w:rsidRDefault="00C12493" w:rsidP="00C12493">
      <w:pPr>
        <w:numPr>
          <w:ilvl w:val="0"/>
          <w:numId w:val="1"/>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по программам </w:t>
      </w:r>
      <w:proofErr w:type="spellStart"/>
      <w:r w:rsidRPr="00C12493">
        <w:rPr>
          <w:rFonts w:ascii="Times New Roman" w:eastAsia="Calibri" w:hAnsi="Times New Roman" w:cs="Times New Roman"/>
          <w:sz w:val="28"/>
          <w:szCs w:val="28"/>
        </w:rPr>
        <w:t>специалитета</w:t>
      </w:r>
      <w:proofErr w:type="spellEnd"/>
      <w:r w:rsidRPr="00C12493">
        <w:rPr>
          <w:rFonts w:ascii="Times New Roman" w:eastAsia="Calibri" w:hAnsi="Times New Roman" w:cs="Times New Roman"/>
          <w:sz w:val="28"/>
          <w:szCs w:val="28"/>
        </w:rPr>
        <w:t xml:space="preserve"> – «Системы обеспечения движения поездов», «Эксплуатация железных дорог»;</w:t>
      </w:r>
    </w:p>
    <w:p w:rsidR="00C12493" w:rsidRPr="00C12493" w:rsidRDefault="00C12493" w:rsidP="00C12493">
      <w:pPr>
        <w:numPr>
          <w:ilvl w:val="0"/>
          <w:numId w:val="1"/>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по программам магистратуры – «Технология транспортных процессов», «</w:t>
      </w:r>
      <w:proofErr w:type="spellStart"/>
      <w:r w:rsidRPr="00C12493">
        <w:rPr>
          <w:rFonts w:ascii="Times New Roman" w:eastAsia="Calibri" w:hAnsi="Times New Roman" w:cs="Times New Roman"/>
          <w:sz w:val="28"/>
          <w:szCs w:val="28"/>
        </w:rPr>
        <w:t>Техносферная</w:t>
      </w:r>
      <w:proofErr w:type="spellEnd"/>
      <w:r w:rsidRPr="00C12493">
        <w:rPr>
          <w:rFonts w:ascii="Times New Roman" w:eastAsia="Calibri" w:hAnsi="Times New Roman" w:cs="Times New Roman"/>
          <w:sz w:val="28"/>
          <w:szCs w:val="28"/>
        </w:rPr>
        <w:t xml:space="preserve"> безопасность».</w:t>
      </w:r>
    </w:p>
    <w:p w:rsidR="00C12493" w:rsidRPr="00C12493" w:rsidRDefault="00C12493" w:rsidP="00C12493">
      <w:pPr>
        <w:spacing w:after="0"/>
        <w:jc w:val="both"/>
        <w:rPr>
          <w:rFonts w:ascii="Times New Roman" w:eastAsia="Calibri" w:hAnsi="Times New Roman" w:cs="Times New Roman"/>
          <w:sz w:val="28"/>
          <w:szCs w:val="28"/>
        </w:rPr>
      </w:pPr>
    </w:p>
    <w:p w:rsidR="00C12493" w:rsidRDefault="008B37EA" w:rsidP="008B37E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Какие новые образовательные </w:t>
      </w:r>
      <w:r w:rsidR="00C12493" w:rsidRPr="00C12493">
        <w:rPr>
          <w:rFonts w:ascii="Times New Roman" w:eastAsia="Calibri" w:hAnsi="Times New Roman" w:cs="Times New Roman"/>
          <w:sz w:val="28"/>
          <w:szCs w:val="28"/>
        </w:rPr>
        <w:t>курсы/факультеты/программы/специальности появились в новом учебном году?</w:t>
      </w:r>
    </w:p>
    <w:p w:rsidR="002B3513" w:rsidRDefault="002B3513" w:rsidP="008B37EA">
      <w:pPr>
        <w:spacing w:after="0"/>
        <w:jc w:val="both"/>
        <w:rPr>
          <w:rFonts w:ascii="Times New Roman" w:eastAsia="Calibri"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183"/>
        <w:gridCol w:w="3206"/>
        <w:gridCol w:w="3182"/>
      </w:tblGrid>
      <w:tr w:rsidR="002B3513" w:rsidRPr="002B3513" w:rsidTr="002B3513">
        <w:tc>
          <w:tcPr>
            <w:tcW w:w="3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3513" w:rsidRPr="002B3513" w:rsidRDefault="002B3513" w:rsidP="002B351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 подготовки</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3513" w:rsidRPr="002B3513" w:rsidRDefault="002B3513" w:rsidP="002B351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Профиль</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3513" w:rsidRPr="002B3513" w:rsidRDefault="002B3513" w:rsidP="002B351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Уровень образования</w:t>
            </w:r>
          </w:p>
        </w:tc>
      </w:tr>
      <w:tr w:rsidR="002B3513" w:rsidRPr="002B3513" w:rsidTr="002B3513">
        <w:tc>
          <w:tcPr>
            <w:tcW w:w="3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Экономика</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Экономика труда</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proofErr w:type="spellStart"/>
            <w:r w:rsidRPr="002B3513">
              <w:rPr>
                <w:rFonts w:ascii="Times New Roman" w:eastAsia="Calibri" w:hAnsi="Times New Roman" w:cs="Times New Roman"/>
                <w:sz w:val="28"/>
                <w:szCs w:val="28"/>
              </w:rPr>
              <w:t>Бакалавриат</w:t>
            </w:r>
            <w:proofErr w:type="spellEnd"/>
          </w:p>
        </w:tc>
      </w:tr>
      <w:tr w:rsidR="002B3513" w:rsidRPr="002B3513" w:rsidTr="002B3513">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Менеджмент</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Управление развитием организации</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proofErr w:type="spellStart"/>
            <w:r w:rsidRPr="002B3513">
              <w:rPr>
                <w:rFonts w:ascii="Times New Roman" w:eastAsia="Calibri" w:hAnsi="Times New Roman" w:cs="Times New Roman"/>
                <w:sz w:val="28"/>
                <w:szCs w:val="28"/>
              </w:rPr>
              <w:t>Бакалавриат</w:t>
            </w:r>
            <w:proofErr w:type="spellEnd"/>
          </w:p>
        </w:tc>
      </w:tr>
      <w:tr w:rsidR="002B3513" w:rsidRPr="002B3513" w:rsidTr="002B3513">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Управление персоналом</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Управление персоналом в цифровой среде</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proofErr w:type="spellStart"/>
            <w:r w:rsidRPr="002B3513">
              <w:rPr>
                <w:rFonts w:ascii="Times New Roman" w:eastAsia="Calibri" w:hAnsi="Times New Roman" w:cs="Times New Roman"/>
                <w:sz w:val="28"/>
                <w:szCs w:val="28"/>
              </w:rPr>
              <w:t>Бакалавриат</w:t>
            </w:r>
            <w:proofErr w:type="spellEnd"/>
          </w:p>
        </w:tc>
      </w:tr>
      <w:tr w:rsidR="002B3513" w:rsidRPr="002B3513" w:rsidTr="002B3513">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Технология транспортных процессов</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Цифровой транспорт и логистика</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proofErr w:type="spellStart"/>
            <w:r w:rsidRPr="002B3513">
              <w:rPr>
                <w:rFonts w:ascii="Times New Roman" w:eastAsia="Calibri" w:hAnsi="Times New Roman" w:cs="Times New Roman"/>
                <w:sz w:val="28"/>
                <w:szCs w:val="28"/>
              </w:rPr>
              <w:t>Бакалавриат</w:t>
            </w:r>
            <w:proofErr w:type="spellEnd"/>
          </w:p>
        </w:tc>
      </w:tr>
      <w:tr w:rsidR="002B3513" w:rsidRPr="002B3513" w:rsidTr="002B3513">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Менеджмент</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Инновационные технологии управления на транспорте</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Магистратура</w:t>
            </w:r>
          </w:p>
        </w:tc>
      </w:tr>
      <w:tr w:rsidR="002B3513" w:rsidRPr="002B3513" w:rsidTr="002B3513">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Управление персоналом</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Управление человеческими ресурсами организации и кадровый консалтинг</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2B3513" w:rsidRPr="002B3513" w:rsidRDefault="002B3513" w:rsidP="002B3513">
            <w:pPr>
              <w:spacing w:after="0" w:line="240" w:lineRule="auto"/>
              <w:rPr>
                <w:rFonts w:ascii="Times New Roman" w:eastAsia="Calibri" w:hAnsi="Times New Roman" w:cs="Times New Roman"/>
                <w:sz w:val="28"/>
                <w:szCs w:val="28"/>
              </w:rPr>
            </w:pPr>
            <w:r w:rsidRPr="002B3513">
              <w:rPr>
                <w:rFonts w:ascii="Times New Roman" w:eastAsia="Calibri" w:hAnsi="Times New Roman" w:cs="Times New Roman"/>
                <w:sz w:val="28"/>
                <w:szCs w:val="28"/>
              </w:rPr>
              <w:t>магистратура</w:t>
            </w:r>
          </w:p>
        </w:tc>
      </w:tr>
    </w:tbl>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4. Какие причины повлияли на сложную заполняемость бюджетных и внебюджетных мест в этом году в вашем университете?</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Причины: </w:t>
      </w:r>
    </w:p>
    <w:p w:rsidR="00C12493" w:rsidRPr="00C12493" w:rsidRDefault="00C12493" w:rsidP="00C12493">
      <w:pPr>
        <w:numPr>
          <w:ilvl w:val="0"/>
          <w:numId w:val="2"/>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отсутствие 2 волны зачисления на места бюджетного финансирования (общий конкурс);</w:t>
      </w:r>
    </w:p>
    <w:p w:rsidR="00C12493" w:rsidRPr="00C12493" w:rsidRDefault="00C12493" w:rsidP="00C12493">
      <w:pPr>
        <w:numPr>
          <w:ilvl w:val="0"/>
          <w:numId w:val="2"/>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ограничения по проведению агитационной работы в учебных заведениях из-за принятых мер по предотвращению заражения COVID-19.</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5.  Какие ведутся ремонтные работы по капитальному ремонту в кампусах?</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Капитальный ремонт объектов, запланированных на 2021 год, в основном завершен.</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В настоящее время в стадии завершения: </w:t>
      </w:r>
    </w:p>
    <w:p w:rsidR="00C12493" w:rsidRPr="00C12493" w:rsidRDefault="00C12493" w:rsidP="00C12493">
      <w:pPr>
        <w:numPr>
          <w:ilvl w:val="0"/>
          <w:numId w:val="3"/>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капитальный  ремонт системы оповещения и управления эвакуацией людей при пожаре в общежитии №2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(г Екатеринбург, ул. Колмогорова, 62);</w:t>
      </w:r>
    </w:p>
    <w:p w:rsidR="00C12493" w:rsidRPr="00C12493" w:rsidRDefault="00C12493" w:rsidP="00C12493">
      <w:pPr>
        <w:numPr>
          <w:ilvl w:val="0"/>
          <w:numId w:val="3"/>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капитальный ремонт автоматической пожарной сигнализации, системы оповещения и управления эвакуацией людей при пожаре студенческого общежития №7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w:t>
      </w:r>
      <w:proofErr w:type="spellStart"/>
      <w:r w:rsidRPr="00C12493">
        <w:rPr>
          <w:rFonts w:ascii="Times New Roman" w:eastAsia="Calibri" w:hAnsi="Times New Roman" w:cs="Times New Roman"/>
          <w:sz w:val="28"/>
          <w:szCs w:val="28"/>
        </w:rPr>
        <w:t>г</w:t>
      </w:r>
      <w:proofErr w:type="gramStart"/>
      <w:r w:rsidRPr="00C12493">
        <w:rPr>
          <w:rFonts w:ascii="Times New Roman" w:eastAsia="Calibri" w:hAnsi="Times New Roman" w:cs="Times New Roman"/>
          <w:sz w:val="28"/>
          <w:szCs w:val="28"/>
        </w:rPr>
        <w:t>.Е</w:t>
      </w:r>
      <w:proofErr w:type="gramEnd"/>
      <w:r w:rsidRPr="00C12493">
        <w:rPr>
          <w:rFonts w:ascii="Times New Roman" w:eastAsia="Calibri" w:hAnsi="Times New Roman" w:cs="Times New Roman"/>
          <w:sz w:val="28"/>
          <w:szCs w:val="28"/>
        </w:rPr>
        <w:t>катеринбург</w:t>
      </w:r>
      <w:proofErr w:type="spellEnd"/>
      <w:r w:rsidRPr="00C12493">
        <w:rPr>
          <w:rFonts w:ascii="Times New Roman" w:eastAsia="Calibri" w:hAnsi="Times New Roman" w:cs="Times New Roman"/>
          <w:sz w:val="28"/>
          <w:szCs w:val="28"/>
        </w:rPr>
        <w:t>, пер. Выездной, 8);</w:t>
      </w:r>
    </w:p>
    <w:p w:rsidR="00C12493" w:rsidRPr="00C12493" w:rsidRDefault="00C12493" w:rsidP="00C12493">
      <w:pPr>
        <w:numPr>
          <w:ilvl w:val="0"/>
          <w:numId w:val="3"/>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капитальный ремонт отдельных помещений 1 этажа в общежитии №1 с целью организации блока для лиц с ограниченным возможностями здоровья в филиале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 Челябинском институте путей сообщения </w:t>
      </w:r>
    </w:p>
    <w:p w:rsidR="00C12493" w:rsidRPr="00C12493" w:rsidRDefault="00C12493" w:rsidP="00C12493">
      <w:pPr>
        <w:spacing w:after="0"/>
        <w:ind w:left="720"/>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(г. Челябинск, ул. Орджоникидзе, д. 35).</w:t>
      </w:r>
    </w:p>
    <w:p w:rsidR="00C12493" w:rsidRPr="00C12493" w:rsidRDefault="00C12493" w:rsidP="00C12493">
      <w:pPr>
        <w:spacing w:after="0"/>
        <w:ind w:left="720"/>
        <w:contextualSpacing/>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 Какие ведутся проекты по модернизации научных баз и производственных площадок?</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Перечень оборудования, установленного в рамках реализации образовательных программ по специальностям 23.05.04 «Эксплуатация железных дорог», 23.02.01 «Организация перевозок и управление на транспорте (по видам)» (договор о сетевой форме реализации образовательных программ):</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оборудование учебного класса по специальности «Поездной участковый диспетчер/дежурный по железнодорожной станции» на 15 мест обучающихся и 1 место преподавателя (головной вуз);</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оборудование учебного класса по специальностям работников сортировочной горки («преподаватель», «ДСПГ», «оператор 2-й тормозной позиции», «оператор ПРУ», </w:t>
      </w:r>
      <w:proofErr w:type="spellStart"/>
      <w:r w:rsidRPr="00C12493">
        <w:rPr>
          <w:rFonts w:ascii="Times New Roman" w:eastAsia="Calibri" w:hAnsi="Times New Roman" w:cs="Times New Roman"/>
          <w:sz w:val="28"/>
          <w:szCs w:val="28"/>
        </w:rPr>
        <w:t>видеостена</w:t>
      </w:r>
      <w:proofErr w:type="spellEnd"/>
      <w:r w:rsidRPr="00C12493">
        <w:rPr>
          <w:rFonts w:ascii="Times New Roman" w:eastAsia="Calibri" w:hAnsi="Times New Roman" w:cs="Times New Roman"/>
          <w:sz w:val="28"/>
          <w:szCs w:val="28"/>
        </w:rPr>
        <w:t>) (головной вуз);</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оборудование учебного класса по специальности «Поездной участковый диспетчер/дежурный по железнодорожной станции» на 8 мест обучающихся и 1 место преподавателя (Колледж железнодорожного транспорта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lastRenderedPageBreak/>
        <w:t xml:space="preserve">оборудование учебного класса по специальностям работников сортировочной горки («преподаватель», «ДСПГ», «оператор 2-й тормозной позиции», «оператор ПРУ», </w:t>
      </w:r>
      <w:proofErr w:type="spellStart"/>
      <w:r w:rsidRPr="00C12493">
        <w:rPr>
          <w:rFonts w:ascii="Times New Roman" w:eastAsia="Calibri" w:hAnsi="Times New Roman" w:cs="Times New Roman"/>
          <w:sz w:val="28"/>
          <w:szCs w:val="28"/>
        </w:rPr>
        <w:t>видеостена</w:t>
      </w:r>
      <w:proofErr w:type="spellEnd"/>
      <w:r w:rsidRPr="00C12493">
        <w:rPr>
          <w:rFonts w:ascii="Times New Roman" w:eastAsia="Calibri" w:hAnsi="Times New Roman" w:cs="Times New Roman"/>
          <w:sz w:val="28"/>
          <w:szCs w:val="28"/>
        </w:rPr>
        <w:t xml:space="preserve">) (Колледж железнодорожного транспорта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оборудование учебного класса по специальности «Поездной участковый диспетчер/дежурный по железнодорожной станции» на 10 мест обучающихся и 1 место преподавателя (Пермский институт железнодорожного транспорта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оборудование учебного класса по специальности «Поездной участковый диспетчер/дежурный по железнодорожной станции» на 8 мест обучающихся и 1 место преподавателя (филиал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в Нижнем Тагиле);</w:t>
      </w:r>
    </w:p>
    <w:p w:rsidR="00C12493" w:rsidRPr="00C12493" w:rsidRDefault="00C12493" w:rsidP="00C12493">
      <w:pPr>
        <w:numPr>
          <w:ilvl w:val="0"/>
          <w:numId w:val="4"/>
        </w:numPr>
        <w:spacing w:after="0" w:line="240" w:lineRule="auto"/>
        <w:contextualSpacing/>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оборудование учебного класса по специальности «Поездной участковый диспетчер/дежурный по железнодорожной станции» на 5 мест обучающихся и 1 место преподавателя (филиал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в Тюмени).</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 Какие интересные научные разработки ведутся в университете?</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Большой вклад в научный потенциал вуза вносят не только заслуженные профессоры, доктора наук, но и молодые кадры, проекты, наработки и изобретения которых признаются эффективными и  активно внедряются в транспортной отрасли страны. Только за последние 5 лет по результатам научных исследований в  вузе получено 52 патента на изобретение и полезную модель, 101 свидетельство о  государственной регистрации программы для ЭВМ.</w:t>
      </w:r>
    </w:p>
    <w:p w:rsidR="00C12493" w:rsidRPr="00C12493" w:rsidRDefault="00C12493" w:rsidP="00C12493">
      <w:pPr>
        <w:spacing w:after="0" w:line="240" w:lineRule="auto"/>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Так, например, в вузе разработаны индикатор для выявления мест пониженного сопротивления изоляции на постах электрической централизации, устройство для нахождения пробоев изоляции и сообщающихся цепей в монтаже поста электрической централизации. Проект А.В. </w:t>
      </w:r>
      <w:proofErr w:type="spellStart"/>
      <w:r w:rsidRPr="00C12493">
        <w:rPr>
          <w:rFonts w:ascii="Times New Roman" w:eastAsia="Calibri" w:hAnsi="Times New Roman" w:cs="Times New Roman"/>
          <w:sz w:val="28"/>
          <w:szCs w:val="28"/>
        </w:rPr>
        <w:t>Паранина</w:t>
      </w:r>
      <w:proofErr w:type="spellEnd"/>
      <w:r w:rsidRPr="00C12493">
        <w:rPr>
          <w:rFonts w:ascii="Times New Roman" w:eastAsia="Calibri" w:hAnsi="Times New Roman" w:cs="Times New Roman"/>
          <w:sz w:val="28"/>
          <w:szCs w:val="28"/>
        </w:rPr>
        <w:t xml:space="preserve"> по расчету температуры и тепловых параметров голых проводов с учетом гололеда призван упростить и автоматизировать указанные расчёты для использования обычным инженерным персоналом. А.А. Косяков разработал двухъярусное заземляющее устройство, которое позволяет одновременно решать задачу выравнивания потенциалов на заземляющем устройстве подстанции (электростанции) при коротких замыканиях и задачу снижения </w:t>
      </w:r>
      <w:proofErr w:type="spellStart"/>
      <w:r w:rsidRPr="00C12493">
        <w:rPr>
          <w:rFonts w:ascii="Times New Roman" w:eastAsia="Calibri" w:hAnsi="Times New Roman" w:cs="Times New Roman"/>
          <w:sz w:val="28"/>
          <w:szCs w:val="28"/>
        </w:rPr>
        <w:t>кондуктивно</w:t>
      </w:r>
      <w:proofErr w:type="spellEnd"/>
      <w:r w:rsidRPr="00C12493">
        <w:rPr>
          <w:rFonts w:ascii="Times New Roman" w:eastAsia="Calibri" w:hAnsi="Times New Roman" w:cs="Times New Roman"/>
          <w:sz w:val="28"/>
          <w:szCs w:val="28"/>
        </w:rPr>
        <w:t xml:space="preserve"> заносимого импульсного потенциала от тока молнии на корпус оборудования высокого напряжения. А.В. Мартыненко и Г.А. Тимофеева разработали проект «Цифровая транспортная модель региона», который  предусматривает разработку и внедрение комплексной автоматизированной системы управления движением поездов и инженерными системами на объектах Екатеринбургского метрополитена с возможностью контроля и управления с центрального поста.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lastRenderedPageBreak/>
        <w:t xml:space="preserve">Аспирант Антон </w:t>
      </w:r>
      <w:proofErr w:type="spellStart"/>
      <w:r w:rsidRPr="00C12493">
        <w:rPr>
          <w:rFonts w:ascii="Times New Roman" w:eastAsia="Calibri" w:hAnsi="Times New Roman" w:cs="Times New Roman"/>
          <w:sz w:val="28"/>
          <w:szCs w:val="28"/>
        </w:rPr>
        <w:t>Бебрис</w:t>
      </w:r>
      <w:proofErr w:type="spellEnd"/>
      <w:r w:rsidRPr="00C12493">
        <w:rPr>
          <w:rFonts w:ascii="Times New Roman" w:eastAsia="Calibri" w:hAnsi="Times New Roman" w:cs="Times New Roman"/>
          <w:sz w:val="28"/>
          <w:szCs w:val="28"/>
        </w:rPr>
        <w:t xml:space="preserve"> стал победителем всероссийского конкурса инновационных проектов «Умник–2020» и выиграл полумиллионный грант, представив проект «Разработка управляемого преобразователя для системы тягового электроснабжения постоянного тока повышенного напряжения». Полумиллионный грант на конкурсе «Умник» получил еще один молодой ученый вуза Антон Конышев.  Его изобретение не имеет аналогов в России и может с легкостью заменить импортные образцы. Аспирант вуза Александр Пазуха разработал универсальное контролирующее устройство применения переносных заземляющих штанг контактной сети. Выпускник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Артур </w:t>
      </w:r>
      <w:proofErr w:type="spellStart"/>
      <w:r w:rsidRPr="00C12493">
        <w:rPr>
          <w:rFonts w:ascii="Times New Roman" w:eastAsia="Calibri" w:hAnsi="Times New Roman" w:cs="Times New Roman"/>
          <w:sz w:val="28"/>
          <w:szCs w:val="28"/>
        </w:rPr>
        <w:t>Камалиев</w:t>
      </w:r>
      <w:proofErr w:type="spellEnd"/>
      <w:r w:rsidRPr="00C12493">
        <w:rPr>
          <w:rFonts w:ascii="Times New Roman" w:eastAsia="Calibri" w:hAnsi="Times New Roman" w:cs="Times New Roman"/>
          <w:sz w:val="28"/>
          <w:szCs w:val="28"/>
        </w:rPr>
        <w:t xml:space="preserve"> предложил устройство в виде съёмного раструба, которое позволило ускорить процесс экипировки электропоезда песком  и исключить потери сыпучего материала при заправке. С 2016 года группой молодых ученых под руководством д.т.н., профессора Н.Ф. </w:t>
      </w:r>
      <w:proofErr w:type="spellStart"/>
      <w:r w:rsidRPr="00C12493">
        <w:rPr>
          <w:rFonts w:ascii="Times New Roman" w:eastAsia="Calibri" w:hAnsi="Times New Roman" w:cs="Times New Roman"/>
          <w:sz w:val="28"/>
          <w:szCs w:val="28"/>
        </w:rPr>
        <w:t>Сириной</w:t>
      </w:r>
      <w:proofErr w:type="spellEnd"/>
      <w:r w:rsidRPr="00C12493">
        <w:rPr>
          <w:rFonts w:ascii="Times New Roman" w:eastAsia="Calibri" w:hAnsi="Times New Roman" w:cs="Times New Roman"/>
          <w:sz w:val="28"/>
          <w:szCs w:val="28"/>
        </w:rPr>
        <w:t xml:space="preserve"> получено 7 патентов на изобретения и 28 свидетельств о государственной регистрации программы для ЭВМ, направленных на разработку и внедрение интеллектуальных и автоматизированных систем организации, управления и контроля производственной </w:t>
      </w:r>
      <w:proofErr w:type="gramStart"/>
      <w:r w:rsidRPr="00C12493">
        <w:rPr>
          <w:rFonts w:ascii="Times New Roman" w:eastAsia="Calibri" w:hAnsi="Times New Roman" w:cs="Times New Roman"/>
          <w:sz w:val="28"/>
          <w:szCs w:val="28"/>
        </w:rPr>
        <w:t>инфраструктуры</w:t>
      </w:r>
      <w:proofErr w:type="gramEnd"/>
      <w:r w:rsidRPr="00C12493">
        <w:rPr>
          <w:rFonts w:ascii="Times New Roman" w:eastAsia="Calibri" w:hAnsi="Times New Roman" w:cs="Times New Roman"/>
          <w:sz w:val="28"/>
          <w:szCs w:val="28"/>
        </w:rPr>
        <w:t xml:space="preserve"> железных дорог.</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8. Какие предусмотрены в вашем университете формы поощрения студентов с высокой успеваемостью?</w:t>
      </w:r>
    </w:p>
    <w:p w:rsidR="008B37EA" w:rsidRDefault="008B37EA"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Для студентов, успешно прошедших промежуточную аттестацию, предусмотрена государственная академическая стипендия.</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Студенты, обучающиеся по образовательным программам высшего образования,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имеют право на получение повышенной государственной академической стипендии.</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Студентам назначаются следующие именные стипендии и виды доплат к академической стипендии:</w:t>
      </w:r>
    </w:p>
    <w:tbl>
      <w:tblPr>
        <w:tblW w:w="9938" w:type="dxa"/>
        <w:tblInd w:w="93" w:type="dxa"/>
        <w:tblLook w:val="04A0" w:firstRow="1" w:lastRow="0" w:firstColumn="1" w:lastColumn="0" w:noHBand="0" w:noVBand="1"/>
      </w:tblPr>
      <w:tblGrid>
        <w:gridCol w:w="780"/>
        <w:gridCol w:w="9158"/>
      </w:tblGrid>
      <w:tr w:rsidR="00C12493" w:rsidRPr="00C12493" w:rsidTr="00C12493">
        <w:trPr>
          <w:trHeight w:val="1455"/>
        </w:trPr>
        <w:tc>
          <w:tcPr>
            <w:tcW w:w="780" w:type="dxa"/>
            <w:tcBorders>
              <w:top w:val="single" w:sz="4" w:space="0" w:color="auto"/>
              <w:left w:val="single" w:sz="4" w:space="0" w:color="auto"/>
              <w:bottom w:val="single" w:sz="4" w:space="0" w:color="auto"/>
              <w:right w:val="single" w:sz="4" w:space="0" w:color="auto"/>
            </w:tcBorders>
            <w:vAlign w:val="center"/>
            <w:hideMark/>
          </w:tcPr>
          <w:p w:rsidR="00C12493" w:rsidRPr="00C12493" w:rsidRDefault="00C12493" w:rsidP="00C12493">
            <w:pPr>
              <w:spacing w:after="0"/>
              <w:jc w:val="center"/>
              <w:rPr>
                <w:rFonts w:ascii="Times New Roman" w:eastAsia="Calibri" w:hAnsi="Times New Roman" w:cs="Times New Roman"/>
                <w:sz w:val="28"/>
                <w:szCs w:val="28"/>
              </w:rPr>
            </w:pPr>
            <w:r w:rsidRPr="00C12493">
              <w:rPr>
                <w:rFonts w:ascii="Times New Roman" w:eastAsia="Calibri" w:hAnsi="Times New Roman" w:cs="Times New Roman"/>
                <w:sz w:val="28"/>
                <w:szCs w:val="28"/>
              </w:rPr>
              <w:t>№</w:t>
            </w:r>
            <w:r w:rsidRPr="00C12493">
              <w:rPr>
                <w:rFonts w:ascii="Times New Roman" w:eastAsia="Calibri" w:hAnsi="Times New Roman" w:cs="Times New Roman"/>
                <w:sz w:val="28"/>
                <w:szCs w:val="28"/>
              </w:rPr>
              <w:br/>
            </w:r>
            <w:proofErr w:type="spellStart"/>
            <w:r w:rsidRPr="00C12493">
              <w:rPr>
                <w:rFonts w:ascii="Times New Roman" w:eastAsia="Calibri" w:hAnsi="Times New Roman" w:cs="Times New Roman"/>
                <w:sz w:val="28"/>
                <w:szCs w:val="28"/>
              </w:rPr>
              <w:t>п.п</w:t>
            </w:r>
            <w:proofErr w:type="spellEnd"/>
            <w:r w:rsidRPr="00C12493">
              <w:rPr>
                <w:rFonts w:ascii="Times New Roman" w:eastAsia="Calibri" w:hAnsi="Times New Roman" w:cs="Times New Roman"/>
                <w:sz w:val="28"/>
                <w:szCs w:val="28"/>
              </w:rPr>
              <w:t>.</w:t>
            </w:r>
          </w:p>
        </w:tc>
        <w:tc>
          <w:tcPr>
            <w:tcW w:w="9158" w:type="dxa"/>
            <w:tcBorders>
              <w:top w:val="single" w:sz="4" w:space="0" w:color="auto"/>
              <w:left w:val="nil"/>
              <w:bottom w:val="single" w:sz="4" w:space="0" w:color="auto"/>
              <w:right w:val="single" w:sz="4" w:space="0" w:color="auto"/>
            </w:tcBorders>
            <w:vAlign w:val="center"/>
            <w:hideMark/>
          </w:tcPr>
          <w:p w:rsidR="00C12493" w:rsidRPr="00C12493" w:rsidRDefault="00C12493" w:rsidP="00C12493">
            <w:pPr>
              <w:spacing w:after="0"/>
              <w:jc w:val="center"/>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Наименование стипендий, пособий, </w:t>
            </w:r>
            <w:r w:rsidRPr="00C12493">
              <w:rPr>
                <w:rFonts w:ascii="Times New Roman" w:eastAsia="Calibri" w:hAnsi="Times New Roman" w:cs="Times New Roman"/>
                <w:sz w:val="28"/>
                <w:szCs w:val="28"/>
              </w:rPr>
              <w:br/>
              <w:t>категории студентов</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Стипендия Президента Российской Федерации  </w:t>
            </w:r>
          </w:p>
        </w:tc>
      </w:tr>
      <w:tr w:rsidR="00C12493" w:rsidRPr="00C12493" w:rsidTr="00C12493">
        <w:trPr>
          <w:trHeight w:val="630"/>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2</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Специальная государственная стипендия Правительства Российской Федерации</w:t>
            </w:r>
          </w:p>
        </w:tc>
      </w:tr>
      <w:tr w:rsidR="00C12493" w:rsidRPr="00C12493" w:rsidTr="00C12493">
        <w:trPr>
          <w:trHeight w:val="157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lastRenderedPageBreak/>
              <w:t>3</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Президента Российской Федерации студентам, обучающимся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tc>
      </w:tr>
      <w:tr w:rsidR="00C12493" w:rsidRPr="00C12493" w:rsidTr="00C12493">
        <w:trPr>
          <w:trHeight w:val="157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4</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Правительства Российской Федерации студентам, обучающимся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5</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им. П.П. Мельникова Минтранса России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Именные и персональные стипендии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6.1</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w:t>
            </w:r>
            <w:proofErr w:type="spellStart"/>
            <w:r w:rsidRPr="00C12493">
              <w:rPr>
                <w:rFonts w:ascii="Times New Roman" w:eastAsia="Calibri" w:hAnsi="Times New Roman" w:cs="Times New Roman"/>
                <w:sz w:val="28"/>
                <w:szCs w:val="28"/>
              </w:rPr>
              <w:t>И.В.Уткина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6.2</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Ю.М. Бея</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6.3</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М.М. Кирилова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6.4</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А.М. </w:t>
            </w:r>
            <w:proofErr w:type="spellStart"/>
            <w:r w:rsidRPr="00C12493">
              <w:rPr>
                <w:rFonts w:ascii="Times New Roman" w:eastAsia="Calibri" w:hAnsi="Times New Roman" w:cs="Times New Roman"/>
                <w:sz w:val="28"/>
                <w:szCs w:val="28"/>
              </w:rPr>
              <w:t>Дядькова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6.5</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В.А. Милюкова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6.6</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А.Я. </w:t>
            </w:r>
            <w:proofErr w:type="spellStart"/>
            <w:r w:rsidRPr="00C12493">
              <w:rPr>
                <w:rFonts w:ascii="Times New Roman" w:eastAsia="Calibri" w:hAnsi="Times New Roman" w:cs="Times New Roman"/>
                <w:sz w:val="28"/>
                <w:szCs w:val="28"/>
              </w:rPr>
              <w:t>Каца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6.7</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А.В. Паршина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6.8</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В.А. Ивашова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6.9</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персональная стипендия Ученого совета </w:t>
            </w:r>
            <w:proofErr w:type="spellStart"/>
            <w:r w:rsidRPr="00C12493">
              <w:rPr>
                <w:rFonts w:ascii="Times New Roman" w:eastAsia="Calibri" w:hAnsi="Times New Roman" w:cs="Times New Roman"/>
                <w:sz w:val="28"/>
                <w:szCs w:val="28"/>
              </w:rPr>
              <w:t>УрГУПС</w:t>
            </w:r>
            <w:proofErr w:type="spellEnd"/>
          </w:p>
        </w:tc>
      </w:tr>
      <w:tr w:rsidR="00C12493" w:rsidRPr="00C12493" w:rsidTr="00C12493">
        <w:trPr>
          <w:trHeight w:val="315"/>
        </w:trPr>
        <w:tc>
          <w:tcPr>
            <w:tcW w:w="780" w:type="dxa"/>
            <w:tcBorders>
              <w:top w:val="nil"/>
              <w:left w:val="single" w:sz="4" w:space="0" w:color="auto"/>
              <w:bottom w:val="nil"/>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6.10</w:t>
            </w:r>
          </w:p>
        </w:tc>
        <w:tc>
          <w:tcPr>
            <w:tcW w:w="9158" w:type="dxa"/>
            <w:tcBorders>
              <w:top w:val="nil"/>
              <w:left w:val="nil"/>
              <w:bottom w:val="nil"/>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стипендия ректора </w:t>
            </w:r>
            <w:proofErr w:type="spellStart"/>
            <w:r w:rsidRPr="00C12493">
              <w:rPr>
                <w:rFonts w:ascii="Times New Roman" w:eastAsia="Calibri" w:hAnsi="Times New Roman" w:cs="Times New Roman"/>
                <w:sz w:val="28"/>
                <w:szCs w:val="28"/>
              </w:rPr>
              <w:t>УрГУПС</w:t>
            </w:r>
            <w:proofErr w:type="spellEnd"/>
          </w:p>
        </w:tc>
      </w:tr>
      <w:tr w:rsidR="00C12493" w:rsidRPr="00C12493" w:rsidTr="00C12493">
        <w:trPr>
          <w:trHeight w:val="162"/>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Именные стипендии, устанавливаемые физическими и юридическими лицами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Губернатора Свердловской области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7.2</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Президента ОАО «РЖД»</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7.3</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А.Л. </w:t>
            </w:r>
            <w:proofErr w:type="spellStart"/>
            <w:r w:rsidRPr="00C12493">
              <w:rPr>
                <w:rFonts w:ascii="Times New Roman" w:eastAsia="Calibri" w:hAnsi="Times New Roman" w:cs="Times New Roman"/>
                <w:sz w:val="28"/>
                <w:szCs w:val="28"/>
              </w:rPr>
              <w:t>Штиглица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7.4</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Начальника Свердловской железной дороги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7.5</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Начальника Южно-Уральской железной дороги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7.6</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Начальника Горьковской железной дороги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7.8</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В.Ф. Соснина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7.9</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Н.А. </w:t>
            </w:r>
            <w:proofErr w:type="spellStart"/>
            <w:r w:rsidRPr="00C12493">
              <w:rPr>
                <w:rFonts w:ascii="Times New Roman" w:eastAsia="Calibri" w:hAnsi="Times New Roman" w:cs="Times New Roman"/>
                <w:sz w:val="28"/>
                <w:szCs w:val="28"/>
              </w:rPr>
              <w:t>Гундобина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7.10</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В.М. Скворцова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7.11</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К.Н. Посьета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7.12</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Д.М. </w:t>
            </w:r>
            <w:proofErr w:type="spellStart"/>
            <w:r w:rsidRPr="00C12493">
              <w:rPr>
                <w:rFonts w:ascii="Times New Roman" w:eastAsia="Calibri" w:hAnsi="Times New Roman" w:cs="Times New Roman"/>
                <w:sz w:val="28"/>
                <w:szCs w:val="28"/>
              </w:rPr>
              <w:t>Калабухова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7.13</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им. И.П. </w:t>
            </w:r>
            <w:proofErr w:type="spellStart"/>
            <w:r w:rsidRPr="00C12493">
              <w:rPr>
                <w:rFonts w:ascii="Times New Roman" w:eastAsia="Calibri" w:hAnsi="Times New Roman" w:cs="Times New Roman"/>
                <w:sz w:val="28"/>
                <w:szCs w:val="28"/>
              </w:rPr>
              <w:t>Блинова</w:t>
            </w:r>
            <w:proofErr w:type="spell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7.14</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им. И.Г. Макарова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7.15</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другие стипендии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8</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Повышение государственной академической стипендии за достижения:</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в учебной деятельности, </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научно-исследовательской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в общественной деятельности  </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культурно-творческой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спортивной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9</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Повышение стипендии нуждающимся студентам 1 и 2 курсов, имеющим оценки успеваемости "хорошо" и "отлично" и относящимся к категориям лиц, имеющих право на получение государственной социальной стипендии </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Увеличение государственной академической стипендии, предусмотренное за успехи: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10.1</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учебной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научной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общественной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культурно-творческой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tcPr>
          <w:p w:rsidR="00C12493" w:rsidRPr="00C12493" w:rsidRDefault="00C12493" w:rsidP="00C12493">
            <w:pPr>
              <w:spacing w:after="0"/>
              <w:jc w:val="both"/>
              <w:rPr>
                <w:rFonts w:ascii="Times New Roman" w:eastAsia="Calibri" w:hAnsi="Times New Roman" w:cs="Times New Roman"/>
                <w:sz w:val="28"/>
                <w:szCs w:val="28"/>
              </w:rPr>
            </w:pP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 спортивной деятельности</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10.2</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успехи в конкурсах научно-исследовательских и опытно-конструкторских работ и др.</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10.3</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proofErr w:type="gramStart"/>
            <w:r w:rsidRPr="00C12493">
              <w:rPr>
                <w:rFonts w:ascii="Times New Roman" w:eastAsia="Calibri" w:hAnsi="Times New Roman" w:cs="Times New Roman"/>
                <w:sz w:val="28"/>
                <w:szCs w:val="28"/>
              </w:rPr>
              <w:t>–  успешное освоение основной и дополнительной программ обучения и при условии заключения договора об индивидуальной подготовке студента для научно-исследовательской, научно-</w:t>
            </w:r>
            <w:proofErr w:type="spellStart"/>
            <w:r w:rsidRPr="00C12493">
              <w:rPr>
                <w:rFonts w:ascii="Times New Roman" w:eastAsia="Calibri" w:hAnsi="Times New Roman" w:cs="Times New Roman"/>
                <w:sz w:val="28"/>
                <w:szCs w:val="28"/>
              </w:rPr>
              <w:t>едагогической</w:t>
            </w:r>
            <w:proofErr w:type="spellEnd"/>
            <w:r w:rsidRPr="00C12493">
              <w:rPr>
                <w:rFonts w:ascii="Times New Roman" w:eastAsia="Calibri" w:hAnsi="Times New Roman" w:cs="Times New Roman"/>
                <w:sz w:val="28"/>
                <w:szCs w:val="28"/>
              </w:rPr>
              <w:t xml:space="preserve"> работы</w:t>
            </w:r>
            <w:proofErr w:type="gramEnd"/>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10.4</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активное участие в научно-техническом творчестве и развитии лабораторной базы университета</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10.5</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высокие результаты вступительных испытаний, в том числе в форме ЕГЭ (3 предмета) – 220-249 баллов</w:t>
            </w:r>
          </w:p>
        </w:tc>
      </w:tr>
      <w:tr w:rsidR="00C12493" w:rsidRPr="00C12493" w:rsidTr="00C12493">
        <w:trPr>
          <w:trHeight w:val="315"/>
        </w:trPr>
        <w:tc>
          <w:tcPr>
            <w:tcW w:w="780" w:type="dxa"/>
            <w:tcBorders>
              <w:top w:val="nil"/>
              <w:left w:val="single" w:sz="4" w:space="0" w:color="auto"/>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10.6</w:t>
            </w:r>
          </w:p>
        </w:tc>
        <w:tc>
          <w:tcPr>
            <w:tcW w:w="9158" w:type="dxa"/>
            <w:tcBorders>
              <w:top w:val="nil"/>
              <w:left w:val="nil"/>
              <w:bottom w:val="single" w:sz="4" w:space="0" w:color="auto"/>
              <w:right w:val="single" w:sz="4" w:space="0" w:color="auto"/>
            </w:tcBorders>
            <w:vAlign w:val="center"/>
            <w:hideMark/>
          </w:tcPr>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высокие результаты вступительных испытаний, в том числе в форме ЕГЭ (3 предмета) – 250 баллов и выше</w:t>
            </w:r>
          </w:p>
        </w:tc>
      </w:tr>
    </w:tbl>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9. Сколько студентов получают президентские и другие повышенные стипендии?</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Президента Российской Федерации в 2021/22 учебном году назначена одному студенту.</w:t>
      </w:r>
    </w:p>
    <w:p w:rsidR="00C12493" w:rsidRPr="00C12493" w:rsidRDefault="00C12493" w:rsidP="00C12493">
      <w:pPr>
        <w:spacing w:after="0"/>
        <w:jc w:val="both"/>
        <w:rPr>
          <w:rFonts w:ascii="Times New Roman" w:eastAsia="Calibri" w:hAnsi="Times New Roman" w:cs="Times New Roman"/>
          <w:sz w:val="28"/>
          <w:szCs w:val="28"/>
        </w:rPr>
      </w:pPr>
      <w:proofErr w:type="gramStart"/>
      <w:r w:rsidRPr="00C12493">
        <w:rPr>
          <w:rFonts w:ascii="Times New Roman" w:eastAsia="Calibri" w:hAnsi="Times New Roman" w:cs="Times New Roman"/>
          <w:sz w:val="28"/>
          <w:szCs w:val="28"/>
        </w:rPr>
        <w:t>Стипендия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2021/22 учебном году назначена пяти студентам.</w:t>
      </w:r>
      <w:proofErr w:type="gramEnd"/>
    </w:p>
    <w:p w:rsidR="00C12493" w:rsidRPr="00C12493" w:rsidRDefault="00C12493" w:rsidP="00C12493">
      <w:pPr>
        <w:spacing w:after="0"/>
        <w:jc w:val="both"/>
        <w:rPr>
          <w:rFonts w:ascii="Times New Roman" w:eastAsia="Calibri" w:hAnsi="Times New Roman" w:cs="Times New Roman"/>
          <w:sz w:val="28"/>
          <w:szCs w:val="28"/>
        </w:rPr>
      </w:pPr>
      <w:proofErr w:type="gramStart"/>
      <w:r w:rsidRPr="00C12493">
        <w:rPr>
          <w:rFonts w:ascii="Times New Roman" w:eastAsia="Calibri" w:hAnsi="Times New Roman" w:cs="Times New Roman"/>
          <w:sz w:val="28"/>
          <w:szCs w:val="28"/>
        </w:rPr>
        <w:t xml:space="preserve">Повышенную государственную академическую стипендию в соответствии с Порядком, утвержденным приказом Министерства образования и науки </w:t>
      </w:r>
      <w:r w:rsidRPr="00C12493">
        <w:rPr>
          <w:rFonts w:ascii="Times New Roman" w:eastAsia="Calibri" w:hAnsi="Times New Roman" w:cs="Times New Roman"/>
          <w:sz w:val="28"/>
          <w:szCs w:val="28"/>
        </w:rPr>
        <w:lastRenderedPageBreak/>
        <w:t>Российской Федерации от 26 декабря 2016 года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обучающимся по очной форме обучения за счет бюджетных ассигнований федерального бюджета</w:t>
      </w:r>
      <w:proofErr w:type="gramEnd"/>
      <w:r w:rsidRPr="00C12493">
        <w:rPr>
          <w:rFonts w:ascii="Times New Roman" w:eastAsia="Calibri" w:hAnsi="Times New Roman" w:cs="Times New Roman"/>
          <w:sz w:val="28"/>
          <w:szCs w:val="28"/>
        </w:rPr>
        <w:t>,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получают 81 человек в месяц.</w:t>
      </w:r>
    </w:p>
    <w:p w:rsidR="00C12493" w:rsidRPr="00C12493" w:rsidRDefault="00C12493" w:rsidP="00C12493">
      <w:pPr>
        <w:spacing w:after="0"/>
        <w:jc w:val="both"/>
        <w:rPr>
          <w:rFonts w:ascii="Times New Roman" w:eastAsia="Calibri" w:hAnsi="Times New Roman" w:cs="Times New Roman"/>
          <w:sz w:val="28"/>
          <w:szCs w:val="28"/>
        </w:rPr>
      </w:pPr>
      <w:proofErr w:type="gramStart"/>
      <w:r w:rsidRPr="00C12493">
        <w:rPr>
          <w:rFonts w:ascii="Times New Roman" w:eastAsia="Calibri" w:hAnsi="Times New Roman" w:cs="Times New Roman"/>
          <w:sz w:val="28"/>
          <w:szCs w:val="28"/>
        </w:rPr>
        <w:t>Повышенную государственную социальную стипендию в соответствии с Порядком, утвержденным приказом Министерства образования и науки Российской Федерации от 26 декабря 2016 года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обучающимся по очной форме обучения за счет бюджетных ассигнований федерального бюджета</w:t>
      </w:r>
      <w:proofErr w:type="gramEnd"/>
      <w:r w:rsidRPr="00C12493">
        <w:rPr>
          <w:rFonts w:ascii="Times New Roman" w:eastAsia="Calibri" w:hAnsi="Times New Roman" w:cs="Times New Roman"/>
          <w:sz w:val="28"/>
          <w:szCs w:val="28"/>
        </w:rPr>
        <w:t>,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получают 55 человек в месяц.</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Внутренние именные стипендии  получают 26 человек.</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Губернатора Свердловской области – 11 человек.</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Генерального директора – Председателя правления ОАО «РЖД»  –  58 человек.</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Стипендия имени </w:t>
      </w:r>
      <w:proofErr w:type="spellStart"/>
      <w:r w:rsidRPr="00C12493">
        <w:rPr>
          <w:rFonts w:ascii="Times New Roman" w:eastAsia="Calibri" w:hAnsi="Times New Roman" w:cs="Times New Roman"/>
          <w:sz w:val="28"/>
          <w:szCs w:val="28"/>
        </w:rPr>
        <w:t>А.Л.Штиглица</w:t>
      </w:r>
      <w:proofErr w:type="spellEnd"/>
      <w:r w:rsidRPr="00C12493">
        <w:rPr>
          <w:rFonts w:ascii="Times New Roman" w:eastAsia="Calibri" w:hAnsi="Times New Roman" w:cs="Times New Roman"/>
          <w:sz w:val="28"/>
          <w:szCs w:val="28"/>
        </w:rPr>
        <w:t xml:space="preserve"> – 3 человека.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им. выдающегося работника железнодорожного транспорта В.Ф. Сосина – 4 человека.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Стипендия им. выдающегося работника железнодорожного транспорта  Н.А. </w:t>
      </w:r>
      <w:proofErr w:type="spellStart"/>
      <w:r w:rsidRPr="00C12493">
        <w:rPr>
          <w:rFonts w:ascii="Times New Roman" w:eastAsia="Calibri" w:hAnsi="Times New Roman" w:cs="Times New Roman"/>
          <w:sz w:val="28"/>
          <w:szCs w:val="28"/>
        </w:rPr>
        <w:t>Гундобина</w:t>
      </w:r>
      <w:proofErr w:type="spellEnd"/>
      <w:r w:rsidRPr="00C12493">
        <w:rPr>
          <w:rFonts w:ascii="Times New Roman" w:eastAsia="Calibri" w:hAnsi="Times New Roman" w:cs="Times New Roman"/>
          <w:sz w:val="28"/>
          <w:szCs w:val="28"/>
        </w:rPr>
        <w:t xml:space="preserve"> – 2 человека.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им. выдающегося работника железнодорожного транспорта В.М. Скворцова – 6 человек.</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имени И.Г. Макарова – 3 человека.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Стипендия начальника железной дороги:</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Свердловская железная дорога – 9 человек;</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Горьковская железная дорога – 4 человека;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Южно-Уральская железная дорога – 3 человека.</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10. Какие существуют программы по подготовке абитуриентов к поступлению в следующем году?</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 Подготовительные курсы:</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для подготовки к ЕГЭ;</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для подготовки к вступительным испытаниям, проводимым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 xml:space="preserve"> самостоятельно.</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2. Программы подготовки </w:t>
      </w:r>
      <w:proofErr w:type="gramStart"/>
      <w:r w:rsidRPr="00C12493">
        <w:rPr>
          <w:rFonts w:ascii="Times New Roman" w:eastAsia="Calibri" w:hAnsi="Times New Roman" w:cs="Times New Roman"/>
          <w:sz w:val="28"/>
          <w:szCs w:val="28"/>
        </w:rPr>
        <w:t>поступающих</w:t>
      </w:r>
      <w:proofErr w:type="gramEnd"/>
      <w:r w:rsidRPr="00C12493">
        <w:rPr>
          <w:rFonts w:ascii="Times New Roman" w:eastAsia="Calibri" w:hAnsi="Times New Roman" w:cs="Times New Roman"/>
          <w:sz w:val="28"/>
          <w:szCs w:val="28"/>
        </w:rPr>
        <w:t xml:space="preserve"> на места целевого обучения (договор РЖД).</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3. </w:t>
      </w:r>
      <w:proofErr w:type="spellStart"/>
      <w:r w:rsidRPr="00C12493">
        <w:rPr>
          <w:rFonts w:ascii="Times New Roman" w:eastAsia="Calibri" w:hAnsi="Times New Roman" w:cs="Times New Roman"/>
          <w:sz w:val="28"/>
          <w:szCs w:val="28"/>
        </w:rPr>
        <w:t>Профориентационная</w:t>
      </w:r>
      <w:proofErr w:type="spellEnd"/>
      <w:r w:rsidRPr="00C12493">
        <w:rPr>
          <w:rFonts w:ascii="Times New Roman" w:eastAsia="Calibri" w:hAnsi="Times New Roman" w:cs="Times New Roman"/>
          <w:sz w:val="28"/>
          <w:szCs w:val="28"/>
        </w:rPr>
        <w:t xml:space="preserve"> работа:</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дни открытых дверей;</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участие в мероприятиях города и области;</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экскурсии по вузу с организованными группами школьников;</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 малый транспортный университет (МТУ </w:t>
      </w:r>
      <w:proofErr w:type="spellStart"/>
      <w:r w:rsidRPr="00C12493">
        <w:rPr>
          <w:rFonts w:ascii="Times New Roman" w:eastAsia="Calibri" w:hAnsi="Times New Roman" w:cs="Times New Roman"/>
          <w:sz w:val="28"/>
          <w:szCs w:val="28"/>
        </w:rPr>
        <w:t>УрГУПС</w:t>
      </w:r>
      <w:proofErr w:type="spellEnd"/>
      <w:r w:rsidRPr="00C12493">
        <w:rPr>
          <w:rFonts w:ascii="Times New Roman" w:eastAsia="Calibri" w:hAnsi="Times New Roman" w:cs="Times New Roman"/>
          <w:sz w:val="28"/>
          <w:szCs w:val="28"/>
        </w:rPr>
        <w:t>);</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проведение заключительных этапов олимпиад школьников.</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11. Сколько выпускников прошлого года трудоустроились (по целевым договорам и остальные)?</w:t>
      </w:r>
    </w:p>
    <w:p w:rsidR="00C12493" w:rsidRPr="00C12493" w:rsidRDefault="00C12493" w:rsidP="00C12493">
      <w:pPr>
        <w:spacing w:after="0"/>
        <w:jc w:val="both"/>
        <w:rPr>
          <w:rFonts w:ascii="Times New Roman" w:eastAsia="Calibri" w:hAnsi="Times New Roman" w:cs="Times New Roman"/>
          <w:sz w:val="28"/>
          <w:szCs w:val="28"/>
        </w:rPr>
      </w:pP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По целевым договорам: 228 чел. </w:t>
      </w:r>
    </w:p>
    <w:p w:rsidR="00C12493" w:rsidRPr="00C12493" w:rsidRDefault="00C12493" w:rsidP="00C12493">
      <w:pPr>
        <w:spacing w:after="0"/>
        <w:jc w:val="both"/>
        <w:rPr>
          <w:rFonts w:ascii="Times New Roman" w:eastAsia="Calibri" w:hAnsi="Times New Roman" w:cs="Times New Roman"/>
          <w:sz w:val="28"/>
          <w:szCs w:val="28"/>
        </w:rPr>
      </w:pPr>
      <w:r w:rsidRPr="00C12493">
        <w:rPr>
          <w:rFonts w:ascii="Times New Roman" w:eastAsia="Calibri" w:hAnsi="Times New Roman" w:cs="Times New Roman"/>
          <w:sz w:val="28"/>
          <w:szCs w:val="28"/>
        </w:rPr>
        <w:t xml:space="preserve">Остальные: </w:t>
      </w:r>
      <w:proofErr w:type="spellStart"/>
      <w:r w:rsidRPr="00C12493">
        <w:rPr>
          <w:rFonts w:ascii="Times New Roman" w:eastAsia="Calibri" w:hAnsi="Times New Roman" w:cs="Times New Roman"/>
          <w:sz w:val="28"/>
          <w:szCs w:val="28"/>
        </w:rPr>
        <w:t>бакалавриат</w:t>
      </w:r>
      <w:proofErr w:type="spellEnd"/>
      <w:r w:rsidRPr="00C12493">
        <w:rPr>
          <w:rFonts w:ascii="Times New Roman" w:eastAsia="Calibri" w:hAnsi="Times New Roman" w:cs="Times New Roman"/>
          <w:sz w:val="28"/>
          <w:szCs w:val="28"/>
        </w:rPr>
        <w:t xml:space="preserve"> – 313 чел., </w:t>
      </w:r>
      <w:proofErr w:type="spellStart"/>
      <w:r w:rsidRPr="00C12493">
        <w:rPr>
          <w:rFonts w:ascii="Times New Roman" w:eastAsia="Calibri" w:hAnsi="Times New Roman" w:cs="Times New Roman"/>
          <w:sz w:val="28"/>
          <w:szCs w:val="28"/>
        </w:rPr>
        <w:t>специалитет</w:t>
      </w:r>
      <w:proofErr w:type="spellEnd"/>
      <w:r w:rsidRPr="00C12493">
        <w:rPr>
          <w:rFonts w:ascii="Times New Roman" w:eastAsia="Calibri" w:hAnsi="Times New Roman" w:cs="Times New Roman"/>
          <w:sz w:val="28"/>
          <w:szCs w:val="28"/>
        </w:rPr>
        <w:t xml:space="preserve"> – 421 чел.</w:t>
      </w:r>
    </w:p>
    <w:p w:rsidR="00C12493" w:rsidRPr="00C12493" w:rsidRDefault="00C12493" w:rsidP="00C12493">
      <w:pPr>
        <w:spacing w:after="0"/>
        <w:ind w:left="578"/>
        <w:contextualSpacing/>
        <w:jc w:val="both"/>
        <w:rPr>
          <w:rFonts w:ascii="Times New Roman" w:eastAsia="Calibri" w:hAnsi="Times New Roman" w:cs="Times New Roman"/>
          <w:sz w:val="28"/>
          <w:szCs w:val="28"/>
        </w:rPr>
      </w:pPr>
    </w:p>
    <w:p w:rsidR="00C12493" w:rsidRPr="00C12493" w:rsidRDefault="00C12493" w:rsidP="00C12493">
      <w:pPr>
        <w:spacing w:after="0"/>
        <w:ind w:left="578"/>
        <w:contextualSpacing/>
        <w:jc w:val="both"/>
        <w:rPr>
          <w:rFonts w:ascii="Times New Roman" w:eastAsia="Calibri" w:hAnsi="Times New Roman" w:cs="Times New Roman"/>
          <w:sz w:val="28"/>
          <w:szCs w:val="28"/>
        </w:rPr>
      </w:pPr>
    </w:p>
    <w:p w:rsidR="00C12493" w:rsidRPr="00C12493" w:rsidRDefault="00C12493" w:rsidP="00C12493">
      <w:pPr>
        <w:spacing w:after="0" w:line="240" w:lineRule="auto"/>
        <w:rPr>
          <w:rFonts w:ascii="Times New Roman" w:eastAsia="Times New Roman" w:hAnsi="Times New Roman" w:cs="Times New Roman"/>
          <w:sz w:val="20"/>
          <w:szCs w:val="20"/>
          <w:lang w:eastAsia="ru-RU"/>
        </w:rPr>
      </w:pPr>
    </w:p>
    <w:p w:rsidR="00DD0D7B" w:rsidRDefault="00DD0D7B"/>
    <w:sectPr w:rsidR="00DD0D7B" w:rsidSect="002B351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1C5"/>
    <w:multiLevelType w:val="hybridMultilevel"/>
    <w:tmpl w:val="35F08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3F55BB7"/>
    <w:multiLevelType w:val="hybridMultilevel"/>
    <w:tmpl w:val="8EF02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8C06211"/>
    <w:multiLevelType w:val="hybridMultilevel"/>
    <w:tmpl w:val="E7FC4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DCC5C22"/>
    <w:multiLevelType w:val="hybridMultilevel"/>
    <w:tmpl w:val="BAE8F16E"/>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6E"/>
    <w:rsid w:val="002923D5"/>
    <w:rsid w:val="002B3513"/>
    <w:rsid w:val="0084646E"/>
    <w:rsid w:val="008B37EA"/>
    <w:rsid w:val="00C12493"/>
    <w:rsid w:val="00DD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4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4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5267">
      <w:bodyDiv w:val="1"/>
      <w:marLeft w:val="0"/>
      <w:marRight w:val="0"/>
      <w:marTop w:val="0"/>
      <w:marBottom w:val="0"/>
      <w:divBdr>
        <w:top w:val="none" w:sz="0" w:space="0" w:color="auto"/>
        <w:left w:val="none" w:sz="0" w:space="0" w:color="auto"/>
        <w:bottom w:val="none" w:sz="0" w:space="0" w:color="auto"/>
        <w:right w:val="none" w:sz="0" w:space="0" w:color="auto"/>
      </w:divBdr>
    </w:div>
    <w:div w:id="1128667549">
      <w:bodyDiv w:val="1"/>
      <w:marLeft w:val="0"/>
      <w:marRight w:val="0"/>
      <w:marTop w:val="0"/>
      <w:marBottom w:val="0"/>
      <w:divBdr>
        <w:top w:val="none" w:sz="0" w:space="0" w:color="auto"/>
        <w:left w:val="none" w:sz="0" w:space="0" w:color="auto"/>
        <w:bottom w:val="none" w:sz="0" w:space="0" w:color="auto"/>
        <w:right w:val="none" w:sz="0" w:space="0" w:color="auto"/>
      </w:divBdr>
    </w:div>
    <w:div w:id="20236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Анастасия Юрьевна</dc:creator>
  <cp:keywords/>
  <dc:description/>
  <cp:lastModifiedBy>Кириллова Анастасия Юрьевна</cp:lastModifiedBy>
  <cp:revision>8</cp:revision>
  <dcterms:created xsi:type="dcterms:W3CDTF">2021-10-07T05:24:00Z</dcterms:created>
  <dcterms:modified xsi:type="dcterms:W3CDTF">2021-10-07T09:45:00Z</dcterms:modified>
</cp:coreProperties>
</file>